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ERASMUS+ SEAL-NR: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mbria" w:cs="Cambria" w:eastAsia="Cambria" w:hAnsi="Cambria"/>
          <w:color w:val="2f549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rtl w:val="0"/>
        </w:rPr>
        <w:t xml:space="preserve">Skills Enrichment for Adaptive Leadership in the New Reality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Course Title: Virtual Exchange Forms and Technologies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Тема 7</w:t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DEVELOPING SOFT SKILLS IN VIRTUAL EXCHANGE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f5496"/>
          <w:sz w:val="48"/>
          <w:szCs w:val="48"/>
          <w:rtl w:val="0"/>
        </w:rPr>
        <w:t xml:space="preserve">Укладач: Nataliia BUGAS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bCs w:val="1"/>
          <w:color w:val="2f549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wyc8xmih0t3x" w:id="0"/>
      <w:bookmarkEnd w:id="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SOFT SKILLS DEVELOPMENT IN VIRTUAL EXCHANGES</w:t>
      </w:r>
    </w:p>
    <w:p w:rsidR="00000000" w:rsidDel="00000000" w:rsidP="00000000" w:rsidRDefault="00000000" w:rsidRPr="00000000" w14:paraId="00000016">
      <w:pPr>
        <w:spacing w:after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Purpose: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To develop advanced interpersonal and cognitive skills necessary for effective professional interaction in a digitized, multicultural, and globalized environment.</w:t>
      </w:r>
    </w:p>
    <w:p w:rsidR="00000000" w:rsidDel="00000000" w:rsidP="00000000" w:rsidRDefault="00000000" w:rsidRPr="00000000" w14:paraId="00000017">
      <w:pPr>
        <w:spacing w:after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To equip participants with tools for remote team management, critical analysis of global issues, and the art of online facilitation.</w:t>
      </w:r>
    </w:p>
    <w:p w:rsidR="00000000" w:rsidDel="00000000" w:rsidP="00000000" w:rsidRDefault="00000000" w:rsidRPr="00000000" w14:paraId="00000018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51rnnpw5qjxm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DETAILED PROGRAM CONTENT (SYLLABUS)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3h1p8zbbp2tf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Teamwork in an International Environment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Virtual Team Dynamics: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Stages of team development (Tuckman’s Model) in a remote context.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Cross-Cultural Synergies: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Leveraging diverse perspectives to achieve project goals.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Communication Protocols: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Establishing rules for synchronous and asynchronous communication in international teams.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b45ikeqztcx2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Critical Thinking and Global Responsibility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Cognitive Bias in Digital Spaces: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Identifying and overcoming prejudices in virtual collaboration.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Systems Thinking: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Understanding how local decisions impact global socioeconomic and environmental systems.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Digital Ethics: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Personal and professional responsibility for shared content and online behavior.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jtcc5xcdlegi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1.3. Leadership and Online Facilitation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E-Leadership: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Leading teams without physical presence; building trust through digital transparency.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Facilitation Techniques: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Managing online workshops, resolving virtual conflicts, and ensuring inclusive participation.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Digital Moderation: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Using interactive tools (Miro, Mural, Mentimeter) to stimulate group creativity.</w:t>
      </w:r>
    </w:p>
    <w:p w:rsidR="00000000" w:rsidDel="00000000" w:rsidP="00000000" w:rsidRDefault="00000000" w:rsidRPr="00000000" w14:paraId="00000026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rkig5ieprtur" w:id="5"/>
      <w:bookmarkEnd w:id="5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SKILLS MATRIX</w:t>
      </w:r>
    </w:p>
    <w:tbl>
      <w:tblPr>
        <w:tblStyle w:val="Table1"/>
        <w:tblW w:w="9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0"/>
        <w:gridCol w:w="4700"/>
        <w:tblGridChange w:id="0">
          <w:tblGrid>
            <w:gridCol w:w="4490"/>
            <w:gridCol w:w="470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Hard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Soft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Virtual Collaboration Tools: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Mastery of Miro, Slack, and Zoom Facilitation.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Intercultural Empathy: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Sensitivity to cultural nuances in digital communication.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Moderation Frameworks: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Applying Liberating Structures in online meetings.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Conflict Resolution: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Managing disagreements in a multicultural remote setting.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Data Ethics: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Compliance with GDPR and ethical data sharing.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Active Listening: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Techniques for deep listening in video conferencing.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Project Tracking: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Proficient use of Trello or Asana for global teams.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Adaptability: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Rapid adjustment to technical or cultural shifts.</w:t>
            </w:r>
          </w:p>
        </w:tc>
      </w:tr>
    </w:tbl>
    <w:p w:rsidR="00000000" w:rsidDel="00000000" w:rsidP="00000000" w:rsidRDefault="00000000" w:rsidRPr="00000000" w14:paraId="00000032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ayjbqjuizzg5" w:id="6"/>
      <w:bookmarkEnd w:id="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ASSIGNMENTS FOR SELF-STUDY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Virtual Exchange Simulation:</w:t>
      </w:r>
    </w:p>
    <w:p w:rsidR="00000000" w:rsidDel="00000000" w:rsidP="00000000" w:rsidRDefault="00000000" w:rsidRPr="00000000" w14:paraId="00000035">
      <w:pPr>
        <w:numPr>
          <w:ilvl w:val="1"/>
          <w:numId w:val="1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Design a 60-minute virtual meeting for a diverse team of 10 people. Include an icebreaker, a core agenda, and a feedback session using a digital whiteboard.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Global Issue Critical Analysis:</w:t>
      </w:r>
    </w:p>
    <w:p w:rsidR="00000000" w:rsidDel="00000000" w:rsidP="00000000" w:rsidRDefault="00000000" w:rsidRPr="00000000" w14:paraId="00000037">
      <w:pPr>
        <w:numPr>
          <w:ilvl w:val="1"/>
          <w:numId w:val="1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Select one of the UN Sustainable Development Goals. Write a 3-page essay analyzing how a virtual exchange program could contribute to solving this issue.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Conflict Resolution Case Study:</w:t>
      </w:r>
    </w:p>
    <w:p w:rsidR="00000000" w:rsidDel="00000000" w:rsidP="00000000" w:rsidRDefault="00000000" w:rsidRPr="00000000" w14:paraId="00000039">
      <w:pPr>
        <w:numPr>
          <w:ilvl w:val="1"/>
          <w:numId w:val="1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Analyze a hypothetical scenario of a cross-cultural misunderstanding in a Slack channel. Propose a step-by-step facilitation plan to resolve the tension.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Digital Leadership Audit:</w:t>
      </w:r>
    </w:p>
    <w:p w:rsidR="00000000" w:rsidDel="00000000" w:rsidP="00000000" w:rsidRDefault="00000000" w:rsidRPr="00000000" w14:paraId="0000003B">
      <w:pPr>
        <w:numPr>
          <w:ilvl w:val="1"/>
          <w:numId w:val="11"/>
        </w:num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Evaluate your own "online presence" as a leader. Identify three areas for improvement in how you project authority and empathy through a screen.</w:t>
      </w:r>
    </w:p>
    <w:p w:rsidR="00000000" w:rsidDel="00000000" w:rsidP="00000000" w:rsidRDefault="00000000" w:rsidRPr="00000000" w14:paraId="0000003C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xnzpm6fnu5vw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RECOMMENDED RESOURCES (WITH LINKS)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Hock, S. "Virtual Exchange: A Guide for Higher Education"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Theoretical and practical basics of virtual exchanges.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Lipmanowicz, H. "The Surprising Power of Liberating Structures"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A library of facilitation techniques.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Hofstede, G. "Cultures and Organizations"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Analyzing social dynamics in global teams.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UN SDG Knowledge Platform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Resource for global responsibility topics.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Miro Academy: Facilitation Course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Practical tools for online leadership.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46"/>
          <w:szCs w:val="46"/>
        </w:rPr>
      </w:pPr>
      <w:bookmarkStart w:colFirst="0" w:colLast="0" w:name="_heading=h.ca7icjgo24d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p03zmduo3s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s6u1m8fb7wg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dtmcy7h019e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n5ksostc3ey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rm56kbjme3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before="0" w:line="276" w:lineRule="auto"/>
        <w:ind w:left="2551.1811023622045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od9ow6lerdmw" w:id="14"/>
      <w:bookmarkEnd w:id="1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РОЗВИТОК М’ЯКИХ НАВИЧОК У 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before="0" w:line="276" w:lineRule="auto"/>
        <w:ind w:left="2976.377952755906" w:hanging="360"/>
        <w:rPr>
          <w:rFonts w:ascii="Arial" w:cs="Arial" w:eastAsia="Arial" w:hAnsi="Arial"/>
          <w:sz w:val="34"/>
          <w:szCs w:val="34"/>
        </w:rPr>
      </w:pPr>
      <w:bookmarkStart w:colFirst="0" w:colLast="0" w:name="_heading=h.3zfd0m1cilvl" w:id="15"/>
      <w:bookmarkEnd w:id="1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ВІРТУАЛЬНИХ ОБМІНАХ</w:t>
      </w:r>
    </w:p>
    <w:p w:rsidR="00000000" w:rsidDel="00000000" w:rsidP="00000000" w:rsidRDefault="00000000" w:rsidRPr="00000000" w14:paraId="0000004B">
      <w:pPr>
        <w:spacing w:after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Призначення: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Розвиток просунутих міжособистісних та когнітивних навичок, необхідних для ефективної професійної взаємодії у цифровізованому та глобалізованому середовищі.</w:t>
      </w:r>
    </w:p>
    <w:p w:rsidR="00000000" w:rsidDel="00000000" w:rsidP="00000000" w:rsidRDefault="00000000" w:rsidRPr="00000000" w14:paraId="0000004C">
      <w:pPr>
        <w:spacing w:after="240"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Озброїти учасників інструментами управління дистанційними командами, критичного аналізу глобальних проблем та мистецтвом онлайн-фасилітації.</w:t>
      </w:r>
    </w:p>
    <w:p w:rsidR="00000000" w:rsidDel="00000000" w:rsidP="00000000" w:rsidRDefault="00000000" w:rsidRPr="00000000" w14:paraId="0000004D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n5fvbuxxi43x" w:id="16"/>
      <w:bookmarkEnd w:id="1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СТРУКТУРА ТЕМИ (ПРОГРАМА)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ix52xf9nw723" w:id="17"/>
      <w:bookmarkEnd w:id="1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Командна робота в міжнародному середовищі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Динаміка віртуальних команд: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Етапи розвитку команди (модель Такмена) у дистанційному контексті.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Крос-культурна синергія: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Використання різноманіття поглядів для досягнення цілей проєкту.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Протоколи комунікації: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Встановлення правил синхронного та асинхронного спілкування.</w:t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ahseitww4gfy" w:id="18"/>
      <w:bookmarkEnd w:id="1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Критичне мислення та глобальна відповідальність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Когнітивні упередження в цифрі: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Розпізнавання та подолання стереотипів у віртуальній співпраці.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Системне мислення: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Розуміння того, як локальні рішення впливають на світові екосистеми.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Цифрова етика: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Особиста відповідальність за контент та поведінку в мережі.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2osux2o8qnbe" w:id="19"/>
      <w:bookmarkEnd w:id="1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1.3. Лідерство та онлайн-фасилітація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E-Leadership: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Лідерство без фізичної присутності; побудова довіри через цифрову прозорість.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Техніки фасилітації: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Управління онлайн-воркшопами, вирішення конфліктів та залучення всіх учасників.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4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Цифрова модерація: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Використання інтерактивних дошок (Miro, Mural) для стимулювання групової креативності.</w:t>
      </w:r>
    </w:p>
    <w:p w:rsidR="00000000" w:rsidDel="00000000" w:rsidP="00000000" w:rsidRDefault="00000000" w:rsidRPr="00000000" w14:paraId="0000005B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e86b8mdjosi0" w:id="20"/>
      <w:bookmarkEnd w:id="2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ПЕРЕЛІК НАВИЧОК (SKILLS MATRIX)</w:t>
      </w:r>
    </w:p>
    <w:tbl>
      <w:tblPr>
        <w:tblStyle w:val="Table2"/>
        <w:tblW w:w="9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60"/>
        <w:gridCol w:w="4730"/>
        <w:tblGridChange w:id="0">
          <w:tblGrid>
            <w:gridCol w:w="4460"/>
            <w:gridCol w:w="473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Hard Skills (Тверді навички)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Soft Skills (М'які навички)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Інструменти віртуальної співпраці: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Miro, Slack, Zoom.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Міжкультурна емпатія: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Чутливість до культурних нюансів у мережі.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Фреймворки модерації: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Використання Liberating Structures.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Вирішення конфліктів: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Управління розбіжностями дистанційно.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Етика даних: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Дотримання стандартів GDPR.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Активне слухання: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Техніки глибинного слухання під час відеодзвінків.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Проєктний трекінг: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Робота в Trello/Asana для глобальних команд.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="276" w:lineRule="auto"/>
              <w:ind w:left="144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Адаптивність: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Швидке реагування на технічні та культурні зміни.</w:t>
            </w:r>
          </w:p>
        </w:tc>
      </w:tr>
    </w:tbl>
    <w:p w:rsidR="00000000" w:rsidDel="00000000" w:rsidP="00000000" w:rsidRDefault="00000000" w:rsidRPr="00000000" w14:paraId="00000067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xgy9mn13567b" w:id="21"/>
      <w:bookmarkEnd w:id="2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ЗАВДАННЯ ДЛЯ САМОСТІЙНОГО ОПРАЦЮВАННЯ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Симуляція віртуального обміну: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Спроектуйте 60-хвилинну зустріч для міжнародної команди з 10 осіб. Додайте «криголам» (icebreaker), основну частину та сесію рефлексії.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Критичний аналіз глобальної проблеми: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Оберіть одну з Цілей сталого розвитку ООН. Напишіть есе на 3 сторінки про те, як віртуальні обміни можуть допомогти у вирішенні цієї проблеми.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Кейс-стаді «Вирішення конфлікту»: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Проаналізуйте гіпотетичну ситуацію крос-культурного непорозуміння в робочому чаті. Запропонуйте план фасилітації для зняття напруги.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Аудит цифрового лідерства:</w:t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Оцініть власну онлайн-присутність. Визначте 3 зони росту у трансляції авторитету та емпатії через екран.</w:t>
      </w:r>
    </w:p>
    <w:p w:rsidR="00000000" w:rsidDel="00000000" w:rsidP="00000000" w:rsidRDefault="00000000" w:rsidRPr="00000000" w14:paraId="00000071">
      <w:pPr>
        <w:spacing w:after="240" w:line="276" w:lineRule="auto"/>
        <w:ind w:left="144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0" w:line="276" w:lineRule="auto"/>
        <w:ind w:left="1440" w:hanging="360"/>
        <w:rPr>
          <w:rFonts w:ascii="Arial" w:cs="Arial" w:eastAsia="Arial" w:hAnsi="Arial"/>
          <w:sz w:val="26"/>
          <w:szCs w:val="26"/>
        </w:rPr>
      </w:pPr>
      <w:bookmarkStart w:colFirst="0" w:colLast="0" w:name="_heading=h.shl1enkduzxr" w:id="22"/>
      <w:bookmarkEnd w:id="2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СПИСОК ЛІТЕРАТУРНИХ ДЖЕРЕЛ (20 ПОЗИЦІЙ)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Г. Гофстеде «Культури та організації»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Фундамент крос-культурної взаємодії.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Е. Маєр «Культурна карта»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Практичне подолання бар'єрів.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С. Кові «7 звичок надзвичайно ефективних людей»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Основа міжособистісної взаємодії.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Г. Рослінг «Фактологія»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Критичне мислення на основі даних.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Цілі сталого розвитку ООН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Глобальна відповідальність.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Liberating Structures Menu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Інструментарій для фасилітаторів.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Miro Academy: Collaborative Leadership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Технічні навички фасилітації.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D. Livermore "Leading with Cultural Intelligence"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Лідерство та CQ.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Ю. Харарі «21 урок для 21 століття»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Глобальні виклики.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К. Ньюпорт «Цифровий мінімалізм»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Посилання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Управління увагою в мережі.</w:t>
      </w:r>
    </w:p>
    <w:p w:rsidR="00000000" w:rsidDel="00000000" w:rsidP="00000000" w:rsidRDefault="00000000" w:rsidRPr="00000000" w14:paraId="0000007D">
      <w:pPr>
        <w:numPr>
          <w:ilvl w:val="1"/>
          <w:numId w:val="8"/>
        </w:numPr>
        <w:spacing w:after="240" w:line="276" w:lineRule="auto"/>
        <w:ind w:left="1440" w:hanging="360"/>
        <w:rPr>
          <w:rFonts w:ascii="Cambria" w:cs="Cambria" w:eastAsia="Cambria" w:hAnsi="Cambria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85952" cy="581108"/>
          <wp:effectExtent b="0" l="0" r="0" t="0"/>
          <wp:docPr id="309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952" cy="58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18427" cy="484505"/>
          <wp:effectExtent b="0" l="0" r="0" t="0"/>
          <wp:docPr id="30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427" cy="484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57250" cy="485775"/>
          <wp:effectExtent b="0" l="0" r="0" t="0"/>
          <wp:docPr descr="logo" id="3092" name="image5.png"/>
          <a:graphic>
            <a:graphicData uri="http://schemas.openxmlformats.org/drawingml/2006/picture">
              <pic:pic>
                <pic:nvPicPr>
                  <pic:cNvPr descr="logo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87395" cy="417353"/>
          <wp:effectExtent b="0" l="0" r="0" t="0"/>
          <wp:docPr id="3095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395" cy="4173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0159" cy="438211"/>
          <wp:effectExtent b="0" l="0" r="0" t="0"/>
          <wp:docPr id="309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159" cy="438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9215" cy="485846"/>
          <wp:effectExtent b="0" l="0" r="0" t="0"/>
          <wp:docPr id="309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215" cy="485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09758" cy="466744"/>
          <wp:effectExtent b="0" l="0" r="0" t="0"/>
          <wp:docPr id="30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58" cy="466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84281" cy="579701"/>
          <wp:effectExtent b="0" l="0" r="0" t="0"/>
          <wp:docPr id="3091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4281" cy="579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uiPriority w:val="99"/>
    <w:semiHidden w:val="1"/>
    <w:unhideWhenUsed w:val="1"/>
    <w:rsid w:val="00AB01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 w:val="1"/>
    <w:unhideWhenUsed w:val="1"/>
    <w:rsid w:val="00AB0134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sid w:val="00AB01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 w:val="1"/>
    <w:unhideWhenUsed w:val="1"/>
    <w:rsid w:val="00AB0134"/>
    <w:rPr>
      <w:b w:val="1"/>
      <w:bCs w:val="1"/>
    </w:rPr>
  </w:style>
  <w:style w:type="character" w:styleId="a7" w:customStyle="1">
    <w:name w:val="Тема примечания Знак"/>
    <w:basedOn w:val="a5"/>
    <w:link w:val="a6"/>
    <w:uiPriority w:val="99"/>
    <w:semiHidden w:val="1"/>
    <w:rsid w:val="00AB0134"/>
    <w:rPr>
      <w:b w:val="1"/>
      <w:bCs w:val="1"/>
      <w:sz w:val="20"/>
      <w:szCs w:val="20"/>
    </w:rPr>
  </w:style>
  <w:style w:type="paragraph" w:styleId="a8">
    <w:name w:val="header"/>
    <w:basedOn w:val="a"/>
    <w:link w:val="a9"/>
    <w:uiPriority w:val="99"/>
    <w:unhideWhenUsed w:val="1"/>
    <w:rsid w:val="00AB0134"/>
    <w:pPr>
      <w:tabs>
        <w:tab w:val="center" w:pos="4819"/>
        <w:tab w:val="right" w:pos="9639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AB0134"/>
  </w:style>
  <w:style w:type="paragraph" w:styleId="aa">
    <w:name w:val="footer"/>
    <w:basedOn w:val="a"/>
    <w:link w:val="ab"/>
    <w:uiPriority w:val="99"/>
    <w:unhideWhenUsed w:val="1"/>
    <w:rsid w:val="00AB0134"/>
    <w:pPr>
      <w:tabs>
        <w:tab w:val="center" w:pos="4819"/>
        <w:tab w:val="right" w:pos="9639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AB0134"/>
  </w:style>
  <w:style w:type="paragraph" w:styleId="ac">
    <w:name w:val="Normal (Web)"/>
    <w:basedOn w:val="a"/>
    <w:uiPriority w:val="99"/>
    <w:semiHidden w:val="1"/>
    <w:unhideWhenUsed w:val="1"/>
    <w:rsid w:val="003C35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ook-ye.com.ua/" TargetMode="External"/><Relationship Id="rId11" Type="http://schemas.openxmlformats.org/officeDocument/2006/relationships/hyperlink" Target="https://academy.miro.com/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sdgs.un.org/goals" TargetMode="External"/><Relationship Id="rId21" Type="http://schemas.openxmlformats.org/officeDocument/2006/relationships/hyperlink" Target="https://nashformat.ua/" TargetMode="External"/><Relationship Id="rId13" Type="http://schemas.openxmlformats.org/officeDocument/2006/relationships/hyperlink" Target="https://www.google.com/search?q=https://nashformat.ua/products/kulturna-karta.-podolannya-nevyvchenyh-bar-eriv-u-mizhnarodnomu-biznesi-924375" TargetMode="External"/><Relationship Id="rId12" Type="http://schemas.openxmlformats.org/officeDocument/2006/relationships/hyperlink" Target="https://geerthofstede.com/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erthofstede.com/" TargetMode="External"/><Relationship Id="rId15" Type="http://schemas.openxmlformats.org/officeDocument/2006/relationships/hyperlink" Target="https://nashformat.ua/" TargetMode="External"/><Relationship Id="rId14" Type="http://schemas.openxmlformats.org/officeDocument/2006/relationships/hyperlink" Target="https://nashformat.ua/" TargetMode="External"/><Relationship Id="rId17" Type="http://schemas.openxmlformats.org/officeDocument/2006/relationships/hyperlink" Target="https://www.liberatingstructures.com/" TargetMode="External"/><Relationship Id="rId16" Type="http://schemas.openxmlformats.org/officeDocument/2006/relationships/hyperlink" Target="https://sdgs.un.org/goals" TargetMode="External"/><Relationship Id="rId5" Type="http://schemas.openxmlformats.org/officeDocument/2006/relationships/styles" Target="styles.xml"/><Relationship Id="rId19" Type="http://schemas.openxmlformats.org/officeDocument/2006/relationships/hyperlink" Target="https://culturalq.com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academy.miro.com/" TargetMode="External"/><Relationship Id="rId7" Type="http://schemas.openxmlformats.org/officeDocument/2006/relationships/hyperlink" Target="https://www.routledge.com/" TargetMode="External"/><Relationship Id="rId8" Type="http://schemas.openxmlformats.org/officeDocument/2006/relationships/hyperlink" Target="https://www.liberatingstructures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8.jpg"/><Relationship Id="rId5" Type="http://schemas.openxmlformats.org/officeDocument/2006/relationships/image" Target="media/image6.png"/><Relationship Id="rId6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uMdQ2ZxEwY3Lz9dnaACfNf+4A==">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2026-02-23T00:11:00Z</dcterms:created>
  <dc:creator>Admin</dc:creator>
</cp:coreProperties>
</file>