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Cambria" w:cs="Cambria" w:eastAsia="Cambria" w:hAnsi="Cambria"/>
          <w:color w:val="2f549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rtl w:val="0"/>
        </w:rPr>
        <w:t xml:space="preserve">ERASMUS+ SEAL-NR: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Cambria" w:cs="Cambria" w:eastAsia="Cambria" w:hAnsi="Cambria"/>
          <w:color w:val="2f549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rtl w:val="0"/>
        </w:rPr>
        <w:t xml:space="preserve">Skills Enrichment for Adaptive Leadership in the New Reality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sz w:val="48"/>
          <w:szCs w:val="48"/>
          <w:rtl w:val="0"/>
        </w:rPr>
        <w:t xml:space="preserve">Course Title: Virtual Exchange Forms and Technologies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sz w:val="48"/>
          <w:szCs w:val="48"/>
          <w:rtl w:val="0"/>
        </w:rPr>
        <w:t xml:space="preserve">Topic 5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sz w:val="48"/>
          <w:szCs w:val="48"/>
          <w:rtl w:val="0"/>
        </w:rPr>
        <w:t xml:space="preserve">VIRTUAL COURSE DESIGN METHODOLOGY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sz w:val="48"/>
          <w:szCs w:val="48"/>
          <w:rtl w:val="0"/>
        </w:rPr>
        <w:t xml:space="preserve">Укладач: Olena Hryhorevska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sz w:val="48"/>
          <w:szCs w:val="48"/>
          <w:rtl w:val="0"/>
        </w:rPr>
        <w:t xml:space="preserve">Тема 5 МЕТОДИКА РОЗРОБКИ ВІРТУАЛЬНИХ КУРСІВ</w:t>
      </w:r>
    </w:p>
    <w:p w:rsidR="00000000" w:rsidDel="00000000" w:rsidP="00000000" w:rsidRDefault="00000000" w:rsidRPr="00000000" w14:paraId="00000015">
      <w:pPr>
        <w:pStyle w:val="Heading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Призначення теми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 присвячена формуванню системного підходу до проєктування, розробки та оцінювання віртуальних курсів у міжнародному освітньому середовищі. Лекція орієнтована на інтеграцію принципів instructional design, міжнародної академічної співпраці та цифрової педагогіки в практику закладів вищої освіти.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Матеріал розроблено з урахуванням сучасних підходів Virtual Exchange та Collaborative Online International Learning (COIL).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Актуальність і цільова аудиторія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Актуальність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Глобалізація вищої освіти.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Поширення змішаних та онлайн-форм навчання.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Необхідність інтернаціоналізації без фізичної мобільності.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Розвиток цифрової трансформації університетів.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Запит на міжкультурні компетентності.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Підходи Virtual Exchange активно підтримуються такими міжнародними ініціативами, як: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Erasmus+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European Association for International Education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Цільова аудиторія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викладачі закладів вищої освіти;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гаранти освітніх програм;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керівники міжнародних проєктів;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методисти та фахівці центрів цифрової освіти;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аспіранти та молоді науковці.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Чому це важливо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Віртуальні курси розширюють доступ до міжнародної освіти.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Дозволяють формувати глобальні компетентності без витрат на мобільність.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Підвищують конкурентоспроможність освітніх програм.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Сприяють інтеграції університетів у міжнародний академічний простір.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Забезпечують сталість співпраці навіть у кризових умовах.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Структура теми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Лекція охоплює три ключові питання: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Розробка навчальних матеріалів для міжнародних онлайн-курсів.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Розробка спільних завдань з іноземними партнерами.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Оцінювання результатів навчання у віртуальних обмінах.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I. РОЗРОБКА НАВЧАЛЬНИХ МАТЕРІАЛІВ ДЛЯ МІЖНАРОДНИХ ОНЛАЙН-КУРСІВ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Методологічні основи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1.1. Instructional Design</w:t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Базові моделі: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ADDIE (Analysis – Design – Development – Implementation – Evaluation)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Backward Design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Constructive Alignment (Biggs)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1448537823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Ключовий принцип: спочатку визначаються результати навчання → потім критерії оцінювання → далі зміст та активності.</w:t>
          </w:r>
        </w:sdtContent>
      </w:sdt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1.2. Структура міжнародного онлайн-модуля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Опис курсу (Syllabus)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Learning Outcomes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Теоретичний контент (відео 8–15 хв)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Інтерактивні активності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Спільне завдання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Рефлексія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Оцінювання</w:t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1.3. Платформи реалізації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Найпоширеніші цифрові середовища: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Moodle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Canvas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Teams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Zoom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Критерії вибору платформи: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можливість групової роботи;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підтримка peer-review;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аналітика активності;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інтеграція мультимедіа.</w:t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1.4. Принципи розробки матеріалів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Міжкультурна нейтральність.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Чіткість інструкцій.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Візуалізація інформації.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Мікронавчання (microlearning).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Інклюзивність (доступність матеріалів).</w:t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II. РОЗРОБКА СПІЛЬНИХ ЗАВДАНЬ З ІНОЗЕМНИМИ ПАРТНЕРАМИ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2.1. Підхід COIL</w:t>
      </w:r>
    </w:p>
    <w:p w:rsidR="00000000" w:rsidDel="00000000" w:rsidP="00000000" w:rsidRDefault="00000000" w:rsidRPr="00000000" w14:paraId="00000057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Модель Collaborative Online International Learning передбачає: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спільне викладання;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спільні результати навчання;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міжкультурну взаємодію студентів.</w:t>
      </w:r>
    </w:p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2.2. Типи спільних завдань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Міжнародний проєкт (Project-Based Learning).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Крос-культурний аналіз кейсу.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Спільне дослідження.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Онлайн-дебати.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Віртуальні симуляції.</w:t>
      </w:r>
    </w:p>
    <w:p w:rsidR="00000000" w:rsidDel="00000000" w:rsidP="00000000" w:rsidRDefault="00000000" w:rsidRPr="00000000" w14:paraId="0000006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2.3. Організаційна модель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Узгодження академічних календарів.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Спільна розробка rubrics.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Визначення мови комунікації.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Розподіл ролей (лідера групи, аналітика, доповідача).</w:t>
      </w:r>
    </w:p>
    <w:p w:rsidR="00000000" w:rsidDel="00000000" w:rsidP="00000000" w:rsidRDefault="00000000" w:rsidRPr="00000000" w14:paraId="0000006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2.4. Приклад структури міжнародного завдання</w:t>
      </w:r>
    </w:p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Етап 1 – Знайомство (Ice-breaking activity)</w:t>
        <w:br w:type="textWrapping"/>
        <w:t xml:space="preserve">Етап 2 – Формування змішаних міжнародних команд</w:t>
        <w:br w:type="textWrapping"/>
        <w:t xml:space="preserve">Етап 3 – Виконання спільного кейсу</w:t>
        <w:br w:type="textWrapping"/>
        <w:t xml:space="preserve">Етап 4 – Презентація результатів</w:t>
        <w:br w:type="textWrapping"/>
        <w:t xml:space="preserve">Етап 5 – Рефлексія</w:t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III. ОЦІНЮВАННЯ РЕЗУЛЬТАТІВ НАВЧАННЯ У ВІРТУАЛЬНИХ ОБМІНАХ</w:t>
      </w:r>
    </w:p>
    <w:p w:rsidR="00000000" w:rsidDel="00000000" w:rsidP="00000000" w:rsidRDefault="00000000" w:rsidRPr="00000000" w14:paraId="0000006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3.1. Принципи оцінювання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Прозорість.</w:t>
      </w:r>
    </w:p>
    <w:p w:rsidR="00000000" w:rsidDel="00000000" w:rsidP="00000000" w:rsidRDefault="00000000" w:rsidRPr="00000000" w14:paraId="0000006B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Валідність.</w:t>
      </w:r>
    </w:p>
    <w:p w:rsidR="00000000" w:rsidDel="00000000" w:rsidP="00000000" w:rsidRDefault="00000000" w:rsidRPr="00000000" w14:paraId="0000006C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Надійність.</w:t>
      </w:r>
    </w:p>
    <w:p w:rsidR="00000000" w:rsidDel="00000000" w:rsidP="00000000" w:rsidRDefault="00000000" w:rsidRPr="00000000" w14:paraId="0000006D">
      <w:pPr>
        <w:numPr>
          <w:ilvl w:val="0"/>
          <w:numId w:val="1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Відповідність Learning Outcomes.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Академічна доброчесність.</w:t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3.2. Інструменти оцінювання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Rubrics</w:t>
      </w:r>
    </w:p>
    <w:p w:rsidR="00000000" w:rsidDel="00000000" w:rsidP="00000000" w:rsidRDefault="00000000" w:rsidRPr="00000000" w14:paraId="00000071">
      <w:pPr>
        <w:numPr>
          <w:ilvl w:val="0"/>
          <w:numId w:val="1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Peer-review</w:t>
      </w:r>
    </w:p>
    <w:p w:rsidR="00000000" w:rsidDel="00000000" w:rsidP="00000000" w:rsidRDefault="00000000" w:rsidRPr="00000000" w14:paraId="00000072">
      <w:pPr>
        <w:numPr>
          <w:ilvl w:val="0"/>
          <w:numId w:val="1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Self-assessment</w:t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E-portfolio</w:t>
      </w:r>
    </w:p>
    <w:p w:rsidR="00000000" w:rsidDel="00000000" w:rsidP="00000000" w:rsidRDefault="00000000" w:rsidRPr="00000000" w14:paraId="00000074">
      <w:pPr>
        <w:numPr>
          <w:ilvl w:val="0"/>
          <w:numId w:val="1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Онлайн-тести</w:t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Рефлексивне есе</w:t>
      </w:r>
    </w:p>
    <w:p w:rsidR="00000000" w:rsidDel="00000000" w:rsidP="00000000" w:rsidRDefault="00000000" w:rsidRPr="00000000" w14:paraId="0000007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3.3. Оцінювання міжкультурної компетентності</w:t>
      </w:r>
    </w:p>
    <w:p w:rsidR="00000000" w:rsidDel="00000000" w:rsidP="00000000" w:rsidRDefault="00000000" w:rsidRPr="00000000" w14:paraId="00000077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Оцінюються:</w:t>
      </w:r>
    </w:p>
    <w:p w:rsidR="00000000" w:rsidDel="00000000" w:rsidP="00000000" w:rsidRDefault="00000000" w:rsidRPr="00000000" w14:paraId="00000078">
      <w:pPr>
        <w:numPr>
          <w:ilvl w:val="0"/>
          <w:numId w:val="1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комунікативна адаптивність;</w:t>
      </w:r>
    </w:p>
    <w:p w:rsidR="00000000" w:rsidDel="00000000" w:rsidP="00000000" w:rsidRDefault="00000000" w:rsidRPr="00000000" w14:paraId="00000079">
      <w:pPr>
        <w:numPr>
          <w:ilvl w:val="0"/>
          <w:numId w:val="1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толерантність;</w:t>
      </w:r>
    </w:p>
    <w:p w:rsidR="00000000" w:rsidDel="00000000" w:rsidP="00000000" w:rsidRDefault="00000000" w:rsidRPr="00000000" w14:paraId="0000007A">
      <w:pPr>
        <w:numPr>
          <w:ilvl w:val="0"/>
          <w:numId w:val="1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здатність працювати в міжнародній команді;</w:t>
      </w:r>
    </w:p>
    <w:p w:rsidR="00000000" w:rsidDel="00000000" w:rsidP="00000000" w:rsidRDefault="00000000" w:rsidRPr="00000000" w14:paraId="0000007B">
      <w:pPr>
        <w:numPr>
          <w:ilvl w:val="0"/>
          <w:numId w:val="1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рефлексивність.</w:t>
      </w:r>
    </w:p>
    <w:p w:rsidR="00000000" w:rsidDel="00000000" w:rsidP="00000000" w:rsidRDefault="00000000" w:rsidRPr="00000000" w14:paraId="0000007C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Можуть використовуватися індикатори, рекомендовані OECD та міжнародними освітніми дослідженнями.</w:t>
      </w:r>
    </w:p>
    <w:p w:rsidR="00000000" w:rsidDel="00000000" w:rsidP="00000000" w:rsidRDefault="00000000" w:rsidRPr="00000000" w14:paraId="0000007D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Мета вивчення теми</w:t>
      </w:r>
    </w:p>
    <w:p w:rsidR="00000000" w:rsidDel="00000000" w:rsidP="00000000" w:rsidRDefault="00000000" w:rsidRPr="00000000" w14:paraId="0000007F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Сформувати у слухачів здатність:</w:t>
      </w:r>
    </w:p>
    <w:p w:rsidR="00000000" w:rsidDel="00000000" w:rsidP="00000000" w:rsidRDefault="00000000" w:rsidRPr="00000000" w14:paraId="00000080">
      <w:pPr>
        <w:numPr>
          <w:ilvl w:val="0"/>
          <w:numId w:val="1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проєктувати міжнародний віртуальний курс;</w:t>
      </w:r>
    </w:p>
    <w:p w:rsidR="00000000" w:rsidDel="00000000" w:rsidP="00000000" w:rsidRDefault="00000000" w:rsidRPr="00000000" w14:paraId="00000081">
      <w:pPr>
        <w:numPr>
          <w:ilvl w:val="0"/>
          <w:numId w:val="1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розробляти спільні міжкультурні завдання;</w:t>
      </w:r>
    </w:p>
    <w:p w:rsidR="00000000" w:rsidDel="00000000" w:rsidP="00000000" w:rsidRDefault="00000000" w:rsidRPr="00000000" w14:paraId="00000082">
      <w:pPr>
        <w:numPr>
          <w:ilvl w:val="0"/>
          <w:numId w:val="1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створювати систему оцінювання результатів навчання у Virtual Exchange.</w:t>
      </w:r>
    </w:p>
    <w:p w:rsidR="00000000" w:rsidDel="00000000" w:rsidP="00000000" w:rsidRDefault="00000000" w:rsidRPr="00000000" w14:paraId="0000008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Завдання для самостійного опрацювання</w:t>
      </w:r>
    </w:p>
    <w:p w:rsidR="00000000" w:rsidDel="00000000" w:rsidP="00000000" w:rsidRDefault="00000000" w:rsidRPr="00000000" w14:paraId="00000084">
      <w:pPr>
        <w:numPr>
          <w:ilvl w:val="0"/>
          <w:numId w:val="1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Розробити структуру 2-тижневого міжнародного онлайн-модуля.</w:t>
      </w:r>
    </w:p>
    <w:p w:rsidR="00000000" w:rsidDel="00000000" w:rsidP="00000000" w:rsidRDefault="00000000" w:rsidRPr="00000000" w14:paraId="00000085">
      <w:pPr>
        <w:numPr>
          <w:ilvl w:val="0"/>
          <w:numId w:val="1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Створити приклад спільного завдання для українсько-іноземної групи.</w:t>
      </w:r>
    </w:p>
    <w:p w:rsidR="00000000" w:rsidDel="00000000" w:rsidP="00000000" w:rsidRDefault="00000000" w:rsidRPr="00000000" w14:paraId="00000086">
      <w:pPr>
        <w:numPr>
          <w:ilvl w:val="0"/>
          <w:numId w:val="1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Розробити rubric для оцінювання групового міжнародного проєкту.</w:t>
      </w:r>
    </w:p>
    <w:p w:rsidR="00000000" w:rsidDel="00000000" w:rsidP="00000000" w:rsidRDefault="00000000" w:rsidRPr="00000000" w14:paraId="00000087">
      <w:pPr>
        <w:numPr>
          <w:ilvl w:val="0"/>
          <w:numId w:val="18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Запропонувати інструмент оцінювання міжкультурної компетентності.</w:t>
      </w:r>
    </w:p>
    <w:p w:rsidR="00000000" w:rsidDel="00000000" w:rsidP="00000000" w:rsidRDefault="00000000" w:rsidRPr="00000000" w14:paraId="0000008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7. Soft Skills, що формуються</w:t>
      </w:r>
    </w:p>
    <w:p w:rsidR="00000000" w:rsidDel="00000000" w:rsidP="00000000" w:rsidRDefault="00000000" w:rsidRPr="00000000" w14:paraId="00000089">
      <w:pPr>
        <w:numPr>
          <w:ilvl w:val="0"/>
          <w:numId w:val="19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Міжкультурна комунікація</w:t>
      </w:r>
    </w:p>
    <w:p w:rsidR="00000000" w:rsidDel="00000000" w:rsidP="00000000" w:rsidRDefault="00000000" w:rsidRPr="00000000" w14:paraId="0000008A">
      <w:pPr>
        <w:numPr>
          <w:ilvl w:val="0"/>
          <w:numId w:val="1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Командна робота</w:t>
      </w:r>
    </w:p>
    <w:p w:rsidR="00000000" w:rsidDel="00000000" w:rsidP="00000000" w:rsidRDefault="00000000" w:rsidRPr="00000000" w14:paraId="0000008B">
      <w:pPr>
        <w:numPr>
          <w:ilvl w:val="0"/>
          <w:numId w:val="1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Критичне мислення</w:t>
      </w:r>
    </w:p>
    <w:p w:rsidR="00000000" w:rsidDel="00000000" w:rsidP="00000000" w:rsidRDefault="00000000" w:rsidRPr="00000000" w14:paraId="0000008C">
      <w:pPr>
        <w:numPr>
          <w:ilvl w:val="0"/>
          <w:numId w:val="1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Креативність</w:t>
      </w:r>
    </w:p>
    <w:p w:rsidR="00000000" w:rsidDel="00000000" w:rsidP="00000000" w:rsidRDefault="00000000" w:rsidRPr="00000000" w14:paraId="0000008D">
      <w:pPr>
        <w:numPr>
          <w:ilvl w:val="0"/>
          <w:numId w:val="1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Лідерство</w:t>
      </w:r>
    </w:p>
    <w:p w:rsidR="00000000" w:rsidDel="00000000" w:rsidP="00000000" w:rsidRDefault="00000000" w:rsidRPr="00000000" w14:paraId="0000008E">
      <w:pPr>
        <w:numPr>
          <w:ilvl w:val="0"/>
          <w:numId w:val="1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Цифрова грамотність</w:t>
      </w:r>
    </w:p>
    <w:p w:rsidR="00000000" w:rsidDel="00000000" w:rsidP="00000000" w:rsidRDefault="00000000" w:rsidRPr="00000000" w14:paraId="0000008F">
      <w:pPr>
        <w:numPr>
          <w:ilvl w:val="0"/>
          <w:numId w:val="19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Адаптивність</w:t>
      </w:r>
    </w:p>
    <w:p w:rsidR="00000000" w:rsidDel="00000000" w:rsidP="00000000" w:rsidRDefault="00000000" w:rsidRPr="00000000" w14:paraId="0000009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8. Hard Skills, що формуються</w:t>
      </w:r>
    </w:p>
    <w:p w:rsidR="00000000" w:rsidDel="00000000" w:rsidP="00000000" w:rsidRDefault="00000000" w:rsidRPr="00000000" w14:paraId="00000091">
      <w:pPr>
        <w:numPr>
          <w:ilvl w:val="0"/>
          <w:numId w:val="20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Instructional Design</w:t>
      </w:r>
    </w:p>
    <w:p w:rsidR="00000000" w:rsidDel="00000000" w:rsidP="00000000" w:rsidRDefault="00000000" w:rsidRPr="00000000" w14:paraId="00000092">
      <w:pPr>
        <w:numPr>
          <w:ilvl w:val="0"/>
          <w:numId w:val="2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Розробка Learning Outcomes</w:t>
      </w:r>
    </w:p>
    <w:p w:rsidR="00000000" w:rsidDel="00000000" w:rsidP="00000000" w:rsidRDefault="00000000" w:rsidRPr="00000000" w14:paraId="00000093">
      <w:pPr>
        <w:numPr>
          <w:ilvl w:val="0"/>
          <w:numId w:val="2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Створення Rubrics</w:t>
      </w:r>
    </w:p>
    <w:p w:rsidR="00000000" w:rsidDel="00000000" w:rsidP="00000000" w:rsidRDefault="00000000" w:rsidRPr="00000000" w14:paraId="00000094">
      <w:pPr>
        <w:numPr>
          <w:ilvl w:val="0"/>
          <w:numId w:val="2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Робота в LMS</w:t>
      </w:r>
    </w:p>
    <w:p w:rsidR="00000000" w:rsidDel="00000000" w:rsidP="00000000" w:rsidRDefault="00000000" w:rsidRPr="00000000" w14:paraId="00000095">
      <w:pPr>
        <w:numPr>
          <w:ilvl w:val="0"/>
          <w:numId w:val="2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Проєктування онлайн-курсів</w:t>
      </w:r>
    </w:p>
    <w:p w:rsidR="00000000" w:rsidDel="00000000" w:rsidP="00000000" w:rsidRDefault="00000000" w:rsidRPr="00000000" w14:paraId="00000096">
      <w:pPr>
        <w:numPr>
          <w:ilvl w:val="0"/>
          <w:numId w:val="20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Аналітика освітніх даних</w:t>
      </w:r>
    </w:p>
    <w:p w:rsidR="00000000" w:rsidDel="00000000" w:rsidP="00000000" w:rsidRDefault="00000000" w:rsidRPr="00000000" w14:paraId="0000009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9. Список реально існуючих джерел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2nastx7yrf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Biggs, J., &amp; Tang, C. (2011).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Teaching for Quality Learning at University.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McGraw-Hill Education. — Електронний ресурс: PDF-версія книги доступна через університетські ресурси за DOI або бібліотечні посилання. Наприклад: Biggs J., Tang C. Teaching for quality learning at university (4th ed.). – Berkshire: McGraw-Hill Education. – Електронний доступ: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https://www.mheducation.com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доступу: 2026).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Примітка: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можна знайти через Google Books чи академічні бібліотеки.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Wiggins, G., &amp; McTighe, J. (2005).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Understanding by Design.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ASCD. – Електронна сторінка про підхід UbD: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https://en.wikipedia.org/wiki/Understanding_by_Design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(вільний електронний ресурс). 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Salmon, G. (2011).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E-Moderating: The Key to Teaching and Learning Online.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Routledge. – Електронний ресурс: доступ через видавництво Taylor &amp; Francis / Routledge або академічні платформи (наприклад, через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https://www.routledge.com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Примітка: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ISBN та електронну версію можна знайти в бібліотеках або на платформі Taylor &amp; Francis Online.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O’Dowd, R.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Internationalising the Classroom through Virtual Exchange.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Routledge. – Електронний ресурс: доступ через видавництво Routledge / Taylor &amp; Francis Online.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Примітка: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ISBN та електронну версію можна знайти через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https://www.routledge.com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OECD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Teaching for Global Competence in a Rapidly Changing World.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OECD Publishing. – Електронний документ: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https://www.oecd.org/content/dam/oecd/en/publications/reports/2018/01/teaching-for-global-competence-in-a-rapidly-changing-world_g1g8938c/9789264289024-en.pdf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(PDF) 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European Commission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Digital Education Action Plan (2021–2027).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Офіційний документ: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https://education.ec.europa.eu/focus-topics/digital-education/plan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(станом на 2025 р.) 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UNESCO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ICT Competency Framework for Teachers (Version 3).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Офіційний електронний ресурс: https://unesdoc.unesco.org/ark:/48223/pf0000265721 (ICT CFT) 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10. Підсумковий тест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1. Який принцип лежить в основі конструктивного узгодження (Constructive Alignment)?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Вибір найсучаснішої LMS</w:t>
        <w:br w:type="textWrapping"/>
        <w:t xml:space="preserve">b) Узгодження результатів навчання, активностей і оцінювання</w:t>
        <w:br w:type="textWrapping"/>
        <w:t xml:space="preserve">c) Збільшення кількості тестів</w:t>
        <w:br w:type="textWrapping"/>
        <w:t xml:space="preserve">d) Орієнтація лише на підсумковий контроль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2. Яка модель instructional design передбачає п’ять послідовних етапів (аналіз, дизайн, розробка, впровадження, оцінювання)?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COIL</w:t>
        <w:br w:type="textWrapping"/>
        <w:t xml:space="preserve">b) ADDIE</w:t>
        <w:br w:type="textWrapping"/>
        <w:t xml:space="preserve">c) Bloom’s Taxonomy</w:t>
        <w:br w:type="textWrapping"/>
        <w:t xml:space="preserve">d) PBL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3. Першим кроком у моделі Backward Design є: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Розробка лекційних матеріалів</w:t>
        <w:br w:type="textWrapping"/>
        <w:t xml:space="preserve">b) Вибір цифрової платформи</w:t>
        <w:br w:type="textWrapping"/>
        <w:t xml:space="preserve">c) Формулювання результатів навчання</w:t>
        <w:br w:type="textWrapping"/>
        <w:t xml:space="preserve">d) Створення презентації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4. Основна особливість моделі COIL (Collaborative Online International Learning) полягає у: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Використанні виключно асинхронного навчання</w:t>
        <w:br w:type="textWrapping"/>
        <w:t xml:space="preserve">b) Спільному викладанні та міжкультурній взаємодії студентів</w:t>
        <w:br w:type="textWrapping"/>
        <w:t xml:space="preserve">c) Проведенні міжнародних іспитів</w:t>
        <w:br w:type="textWrapping"/>
        <w:t xml:space="preserve">d) Автоматизованому оцінюванні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5. Який формат є найбільш доцільним для оцінювання групового міжнародного проєкту?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Тест із закритими питаннями</w:t>
        <w:br w:type="textWrapping"/>
        <w:t xml:space="preserve">b) Усне індивідуальне опитування</w:t>
        <w:br w:type="textWrapping"/>
        <w:t xml:space="preserve">c) Rubric з чіткими критеріями</w:t>
        <w:br w:type="textWrapping"/>
        <w:t xml:space="preserve">d) Випадкове оцінювання викладачем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6. Який із наведених інструментів належить до формувального (formative) оцінювання?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Підсумковий іспит</w:t>
        <w:br w:type="textWrapping"/>
        <w:t xml:space="preserve">b) Рефлексивний щоденник</w:t>
        <w:br w:type="textWrapping"/>
        <w:t xml:space="preserve">c) Державна атестація</w:t>
        <w:br w:type="textWrapping"/>
        <w:t xml:space="preserve">d) Сертифікаційний тест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7. При розробці міжнародного онлайн-курсу особливо важливо враховувати: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Лише технічні можливості платформи</w:t>
        <w:br w:type="textWrapping"/>
        <w:t xml:space="preserve">b) Міжкультурний контекст та мовні особливості</w:t>
        <w:br w:type="textWrapping"/>
        <w:t xml:space="preserve">c) Тільки національні стандарти освіти</w:t>
        <w:br w:type="textWrapping"/>
        <w:t xml:space="preserve">d) Виключно асинхронну форму роботи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8. Який із наведених елементів є обов’язковим у структурі міжнародного онлайн-модуля?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Форум знайомства (ice-breaking activity)</w:t>
        <w:br w:type="textWrapping"/>
        <w:t xml:space="preserve">b) Паперовий залік</w:t>
        <w:br w:type="textWrapping"/>
        <w:t xml:space="preserve">c) Аудиторна контрольна робота</w:t>
        <w:br w:type="textWrapping"/>
        <w:t xml:space="preserve">d) Друкований конспект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9. Оцінювання міжкультурної компетентності у віртуальних обмінах може здійснюватися через: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Лише тест із множинним вибором</w:t>
        <w:br w:type="textWrapping"/>
        <w:t xml:space="preserve">b) Рефлексивне есе та peer-review</w:t>
        <w:br w:type="textWrapping"/>
        <w:t xml:space="preserve">c) Автоматичний таймер присутності</w:t>
        <w:br w:type="textWrapping"/>
        <w:t xml:space="preserve">d) Підрахунок кількості повідомлень у чаті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10. До Hard Skills у методології розробки віртуальних курсів належить: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Міжкультурна комунікація</w:t>
        <w:br w:type="textWrapping"/>
        <w:t xml:space="preserve">b) Лідерство</w:t>
        <w:br w:type="textWrapping"/>
        <w:t xml:space="preserve">c) Розробка learning outcomes та rubrics</w:t>
        <w:br w:type="textWrapping"/>
        <w:t xml:space="preserve">d) Адаптивність</w:t>
      </w:r>
    </w:p>
    <w:p w:rsidR="00000000" w:rsidDel="00000000" w:rsidP="00000000" w:rsidRDefault="00000000" w:rsidRPr="00000000" w14:paraId="000000C0">
      <w:pPr>
        <w:spacing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Gungsuh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885952" cy="581108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952" cy="581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</w:t>
    </w:r>
    <w:r w:rsidDel="00000000" w:rsidR="00000000" w:rsidRPr="00000000">
      <w:rPr>
        <w:color w:val="000000"/>
      </w:rPr>
      <w:drawing>
        <wp:inline distB="0" distT="0" distL="0" distR="0">
          <wp:extent cx="518427" cy="484505"/>
          <wp:effectExtent b="0" l="0" r="0" t="0"/>
          <wp:docPr id="1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427" cy="484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</w:t>
    </w:r>
    <w:r w:rsidDel="00000000" w:rsidR="00000000" w:rsidRPr="00000000">
      <w:rPr>
        <w:color w:val="000000"/>
      </w:rPr>
      <w:drawing>
        <wp:inline distB="0" distT="0" distL="0" distR="0">
          <wp:extent cx="857250" cy="485775"/>
          <wp:effectExtent b="0" l="0" r="0" t="0"/>
          <wp:docPr descr="logo" id="12" name="image8.png"/>
          <a:graphic>
            <a:graphicData uri="http://schemas.openxmlformats.org/drawingml/2006/picture">
              <pic:pic>
                <pic:nvPicPr>
                  <pic:cNvPr descr="logo" id="0" name="image8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</w:t>
    </w:r>
    <w:r w:rsidDel="00000000" w:rsidR="00000000" w:rsidRPr="00000000">
      <w:rPr>
        <w:color w:val="000000"/>
      </w:rPr>
      <w:drawing>
        <wp:inline distB="0" distT="0" distL="0" distR="0">
          <wp:extent cx="587395" cy="417353"/>
          <wp:effectExtent b="0" l="0" r="0" t="0"/>
          <wp:docPr id="15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395" cy="4173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</w:t>
    </w:r>
    <w:r w:rsidDel="00000000" w:rsidR="00000000" w:rsidRPr="00000000">
      <w:rPr>
        <w:color w:val="000000"/>
      </w:rPr>
      <w:drawing>
        <wp:inline distB="0" distT="0" distL="0" distR="0">
          <wp:extent cx="600159" cy="438211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159" cy="438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</w:t>
    </w:r>
    <w:r w:rsidDel="00000000" w:rsidR="00000000" w:rsidRPr="00000000">
      <w:rPr>
        <w:color w:val="000000"/>
      </w:rPr>
      <w:drawing>
        <wp:inline distB="0" distT="0" distL="0" distR="0">
          <wp:extent cx="619215" cy="485846"/>
          <wp:effectExtent b="0" l="0" r="0" t="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215" cy="4858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409758" cy="466744"/>
          <wp:effectExtent b="0" l="0" r="0" t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58" cy="466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  </w:t>
    </w:r>
    <w:r w:rsidDel="00000000" w:rsidR="00000000" w:rsidRPr="00000000">
      <w:rPr>
        <w:color w:val="000000"/>
      </w:rPr>
      <w:drawing>
        <wp:inline distB="0" distT="0" distL="0" distR="0">
          <wp:extent cx="1084281" cy="579701"/>
          <wp:effectExtent b="0" l="0" r="0" t="0"/>
          <wp:docPr id="11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4281" cy="5797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U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5">
    <w:name w:val="Hyperlink"/>
    <w:basedOn w:val="a0"/>
    <w:uiPriority w:val="99"/>
    <w:unhideWhenUsed w:val="1"/>
    <w:rsid w:val="006A681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6A681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oecd.org/content/dam/oecd/en/publications/reports/2018/01/teaching-for-global-competence-in-a-rapidly-changing-world_g1g8938c/9789264289024-en.pdf?utm_source=chatgpt.com" TargetMode="External"/><Relationship Id="rId10" Type="http://schemas.openxmlformats.org/officeDocument/2006/relationships/hyperlink" Target="https://www.routledge.com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education.ec.europa.eu/focus-topics/digital-education/plan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outledge.com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heducation.com" TargetMode="External"/><Relationship Id="rId8" Type="http://schemas.openxmlformats.org/officeDocument/2006/relationships/hyperlink" Target="https://en.wikipedia.org/wiki/Understanding_by_Design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8.png"/><Relationship Id="rId4" Type="http://schemas.openxmlformats.org/officeDocument/2006/relationships/image" Target="media/image6.jpg"/><Relationship Id="rId5" Type="http://schemas.openxmlformats.org/officeDocument/2006/relationships/image" Target="media/image1.png"/><Relationship Id="rId6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qSWkbOmcpr4ETrt5OXXxSSuFVA==">CgMxLjAaJQoBMBIgCh4IB0IaCg9UaW1lcyBOZXcgUm9tYW4SB0d1bmdzdWgyDmguOTJuYXN0eDd5cmZlOAByITEzX3k4ZjZScEdqbWZQUzRQZVBCOTdTczJNRmdWcExQWg==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2026-02-25T21:19:00Z</dcterms:created>
  <dc:creator>Лена</dc:creator>
</cp:coreProperties>
</file>